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400"/>
      </w:pPr>
      <w:r>
        <w:t xml:space="preserve"/>
      </w:r>
    </w:p>
    <w:p>
      <w:pPr>
        <w:spacing w:after="360"/>
        <w:jc w:val="center"/>
      </w:pPr>
      <w:r>
        <w:rPr>
          <w:b/>
          <w:bCs/>
          <w:color w:val="1F3864"/>
          <w:sz w:val="56"/>
          <w:szCs w:val="56"/>
        </w:rPr>
        <w:t xml:space="preserve">ANEXO N° 2</w:t>
      </w:r>
    </w:p>
    <w:p>
      <w:pPr>
        <w:spacing w:after="240"/>
        <w:jc w:val="center"/>
      </w:pPr>
      <w:r>
        <w:rPr>
          <w:b/>
          <w:bCs/>
          <w:color w:val="1F3864"/>
          <w:sz w:val="36"/>
          <w:szCs w:val="36"/>
        </w:rPr>
        <w:t xml:space="preserve">Protocolo de Actuación ante Amenaza con Arma y/o Tiroteo</w:t>
      </w:r>
    </w:p>
    <w:p>
      <w:pPr>
        <w:spacing w:after="1200"/>
        <w:jc w:val="center"/>
      </w:pPr>
      <w:r>
        <w:rPr>
          <w:i/>
          <w:iCs/>
          <w:color w:val="595959"/>
          <w:sz w:val="24"/>
          <w:szCs w:val="24"/>
        </w:rPr>
        <w:t xml:space="preserve">Nivel Preescolar</w:t>
      </w:r>
    </w:p>
    <w:p>
      <w:pPr>
        <w:spacing w:after="120"/>
        <w:jc w:val="center"/>
      </w:pPr>
      <w:r>
        <w:rPr>
          <w:b/>
          <w:bCs/>
          <w:sz w:val="28"/>
          <w:szCs w:val="28"/>
        </w:rPr>
        <w:t xml:space="preserve">ESCUELA ESPECIAL DE LENGUAJE GIRASOL</w:t>
      </w:r>
    </w:p>
    <w:p>
      <w:pPr>
        <w:spacing w:after="480"/>
        <w:jc w:val="center"/>
      </w:pPr>
      <w:r>
        <w:rPr>
          <w:sz w:val="24"/>
          <w:szCs w:val="24"/>
        </w:rPr>
        <w:t xml:space="preserve">RBD 22387-5</w:t>
      </w:r>
    </w:p>
    <w:p>
      <w:pPr>
        <w:jc w:val="center"/>
      </w:pPr>
      <w:r>
        <w:rPr>
          <w:i/>
          <w:iCs/>
          <w:color w:val="595959"/>
          <w:sz w:val="22"/>
          <w:szCs w:val="22"/>
        </w:rPr>
        <w:t xml:space="preserve">Reglamento Interno de Educación Parvularia 2026</w:t>
      </w:r>
    </w:p>
    <w:p>
      <w:pPr>
        <w:jc w:val="center"/>
      </w:pPr>
      <w:r>
        <w:rPr>
          <w:i/>
          <w:iCs/>
          <w:color w:val="595959"/>
          <w:sz w:val="22"/>
          <w:szCs w:val="22"/>
        </w:rPr>
        <w:t xml:space="preserve">Puerto Varas</w:t>
      </w:r>
    </w:p>
    <w:p>
      <w:r>
        <w:br w:type="page"/>
      </w:r>
    </w:p>
    <w:p>
      <w:pPr>
        <w:pStyle w:val="Heading1"/>
      </w:pPr>
      <w:r>
        <w:rPr>
          <w:b/>
          <w:bCs/>
          <w:color w:val="1F3864"/>
        </w:rPr>
        <w:t xml:space="preserve">Art. 1.- Objetivo</w:t>
      </w:r>
    </w:p>
    <w:p>
      <w:pPr>
        <w:spacing w:after="120" w:line="300"/>
        <w:jc w:val="both"/>
      </w:pPr>
      <w:r>
        <w:t xml:space="preserve">Establecer acciones inmediatas para resguardar la vida e integridad física y psicológica de párvulos, funcionarias y visitas, frente a una amenaza con arma de fuego, tiroteo o balacera en el establecimiento o en su entorno cercano.</w:t>
      </w:r>
    </w:p>
    <w:p>
      <w:pPr>
        <w:spacing w:after="80"/>
      </w:pPr>
      <w:r>
        <w:t xml:space="preserve"/>
      </w:r>
    </w:p>
    <w:p>
      <w:pPr>
        <w:pStyle w:val="Heading1"/>
      </w:pPr>
      <w:r>
        <w:rPr>
          <w:b/>
          <w:bCs/>
          <w:color w:val="1F3864"/>
        </w:rPr>
        <w:t xml:space="preserve">Art. 2.- Principios rectores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Interés superior del niño: </w:t>
      </w:r>
      <w:r>
        <w:t xml:space="preserve">priorizar contención emocional y seguridad física del párvulo.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Celeridad: </w:t>
      </w:r>
      <w:r>
        <w:t xml:space="preserve">actuar en segundos. No hay tiempo para consultar.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Encierro antes que evacuación: </w:t>
      </w:r>
      <w:r>
        <w:t xml:space="preserve">en balacera, se protege en el lugar. No se sale a patio.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Rol del adulto: </w:t>
      </w:r>
      <w:r>
        <w:t xml:space="preserve">la educadora/técnico es la responsable de liderar la acción en su sala. Los niños siguen la instrucción del adulto.</w:t>
      </w:r>
    </w:p>
    <w:p>
      <w:pPr>
        <w:spacing w:after="80"/>
      </w:pPr>
      <w:r>
        <w:t xml:space="preserve"/>
      </w:r>
    </w:p>
    <w:p>
      <w:pPr>
        <w:pStyle w:val="Heading1"/>
      </w:pPr>
      <w:r>
        <w:rPr>
          <w:b/>
          <w:bCs/>
          <w:color w:val="1F3864"/>
        </w:rPr>
        <w:t xml:space="preserve">Art. 3.- Medidas de prevención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Control de acceso: </w:t>
      </w:r>
      <w:r>
        <w:t xml:space="preserve">portón con llave durante toda la jornada. Toda visita se anuncia a docente, se registra RUT y motivo, y usa credencial visible en WhatsApp institucional.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Prohibición: </w:t>
      </w:r>
      <w:r>
        <w:t xml:space="preserve">está prohibido el ingreso de armas de fuego, fogueo, airsoft (armas que parecen de verdad), juguetes bélicos o elementos cortopunzantes al establecimiento por parte de cualquier persona.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Capacitación: </w:t>
      </w:r>
      <w:r>
        <w:t xml:space="preserve">todo el personal recibe 2 veces al año simulacro de encierro y contención emocional. Se deja acta firmada.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Coordinación con Carabineros: </w:t>
      </w:r>
      <w:r>
        <w:t xml:space="preserve">actualización anual del Plan Cuadrante.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Botiquín de crisis: </w:t>
      </w:r>
      <w:r>
        <w:t xml:space="preserve">lista de párvulos, masa para jugar, botiquín, agua, galletas, muda extra, manta, colchoneta.</w:t>
      </w:r>
    </w:p>
    <w:p>
      <w:pPr>
        <w:spacing w:after="80"/>
      </w:pPr>
      <w:r>
        <w:t xml:space="preserve"/>
      </w:r>
    </w:p>
    <w:p>
      <w:pPr>
        <w:pStyle w:val="Heading1"/>
      </w:pPr>
      <w:r>
        <w:rPr>
          <w:b/>
          <w:bCs/>
          <w:color w:val="1F3864"/>
        </w:rPr>
        <w:t xml:space="preserve">Art. 4.- Procedimiento si la amenaza es DENTRO del establecimiento</w:t>
      </w:r>
    </w:p>
    <w:p>
      <w:pPr>
        <w:pStyle w:val="Heading2"/>
      </w:pPr>
      <w:r>
        <w:rPr>
          <w:b/>
          <w:bCs/>
          <w:color w:val="1F3864"/>
        </w:rPr>
        <w:t xml:space="preserve">Fase 1: Alerta — Código “TÍA LUCY EN SALA”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Quien detecte a persona con arma grita 3 veces: “TÍA LUCY EN SALA” y activa alarma interna o megáfono.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Directora o quien esté a cargo llama inmediatamente a 133 Carabineros y 131 SAMU. Informa: “Amenaza con arma de fuego en Escuela Girasol”, dirección y teléfono.</w:t>
      </w:r>
    </w:p>
    <w:p>
      <w:pPr>
        <w:spacing w:after="80"/>
      </w:pPr>
      <w:r>
        <w:t xml:space="preserve"/>
      </w:r>
    </w:p>
    <w:p>
      <w:pPr>
        <w:pStyle w:val="Heading2"/>
      </w:pPr>
      <w:r>
        <w:rPr>
          <w:b/>
          <w:bCs/>
          <w:color w:val="1F3864"/>
        </w:rPr>
        <w:t xml:space="preserve">Fase 2: Encierro — Acción en sala</w:t>
      </w:r>
    </w:p>
    <w:p>
      <w:pPr>
        <w:spacing w:after="120" w:line="300"/>
        <w:jc w:val="both"/>
      </w:pPr>
      <w:r>
        <w:t xml:space="preserve">La educadora de cada nivel debe: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Cerrar con llave puerta de sala. Bloquear con muebles. Apagar luces. Cerrar cortinas.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Alejar a párvulos de puertas y ventanas, idealmente al lado opuesto a la puerta; no salir al pasillo.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Silencio: </w:t>
      </w:r>
      <w:r>
        <w:t xml:space="preserve">usar tono de voz bajo y firme. Decir: “Vamos a jugar al escondite silencioso. Tía los va a cuidar”. Iniciar canción de contención susurrada o respiración.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Cubrir: </w:t>
      </w:r>
      <w:r>
        <w:t xml:space="preserve">usar mesas volcadas, colchonetas o mochilas como barrera si es posible.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No abrir: </w:t>
      </w:r>
      <w:r>
        <w:t xml:space="preserve">no abrir la puerta a nadie hasta que Carabineros se identifique y dé la orden a la Directora.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Comunicación: </w:t>
      </w:r>
      <w:r>
        <w:t xml:space="preserve">solo la Directora se comunica con el exterior. Celulares de funcionarias en silencio. No llamar a apoderados aún para evitar colapso.</w:t>
      </w:r>
    </w:p>
    <w:p>
      <w:pPr>
        <w:spacing w:after="80"/>
      </w:pPr>
      <w:r>
        <w:t xml:space="preserve"/>
      </w:r>
    </w:p>
    <w:p>
      <w:pPr>
        <w:pStyle w:val="Heading2"/>
      </w:pPr>
      <w:r>
        <w:rPr>
          <w:b/>
          <w:bCs/>
          <w:color w:val="1F3864"/>
        </w:rPr>
        <w:t xml:space="preserve">Fase 3: Después del incidente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Carabineros asegura el recinto y da orden de “zona segura”.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Encargada de Convivencia y Equipo Directivo activan contención emocional inmediata.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La Directora informa a apoderados por canal oficial único, una vez autorizada por Carabineros.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Se suspenden clases y se activa apoyo SENDA/HPV para intervención en crisis.</w:t>
      </w:r>
    </w:p>
    <w:p>
      <w:pPr>
        <w:spacing w:after="80"/>
      </w:pPr>
      <w:r>
        <w:t xml:space="preserve"/>
      </w:r>
    </w:p>
    <w:p>
      <w:pPr>
        <w:pStyle w:val="Heading1"/>
      </w:pPr>
      <w:r>
        <w:rPr>
          <w:b/>
          <w:bCs/>
          <w:color w:val="1F3864"/>
        </w:rPr>
        <w:t xml:space="preserve">Art. 5.- Procedimiento si la BALACERA es en el ENTORNO del establecimiento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Alerta: </w:t>
      </w:r>
      <w:r>
        <w:t xml:space="preserve">al escuchar disparos, cualquier funcionaria grita “CÓDIGO ROJO”.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Encierro: </w:t>
      </w:r>
      <w:r>
        <w:t xml:space="preserve">mismo procedimiento Fase 2: cerrar puertas, alejar de ventanas, tirarse al suelo. “Juego de la tortuga: cabeza abajo, manos en la nuca”.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Directora: </w:t>
      </w:r>
      <w:r>
        <w:t xml:space="preserve">se tira al suelo y llama a 133. Indica: “Balacera en exterior de Escuela Girasol, niños en encierro”.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No evacuar: </w:t>
      </w:r>
      <w:r>
        <w:t xml:space="preserve">está prohibido salir hasta que Carabineros indique. Una bala perdida es el mayor riesgo.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Duración: </w:t>
      </w:r>
      <w:r>
        <w:t xml:space="preserve">mantener encierro mínimo 10 minutos después del último disparo. Carabineros confirma.</w:t>
      </w:r>
    </w:p>
    <w:p>
      <w:pPr>
        <w:spacing w:after="80"/>
      </w:pPr>
      <w:r>
        <w:t xml:space="preserve"/>
      </w:r>
    </w:p>
    <w:p>
      <w:pPr>
        <w:pStyle w:val="Heading1"/>
      </w:pPr>
      <w:r>
        <w:rPr>
          <w:b/>
          <w:bCs/>
          <w:color w:val="1F3864"/>
        </w:rPr>
        <w:t xml:space="preserve">Art. 6.- Amenaza escrita, verbal o por redes sociales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No desestimar: </w:t>
      </w:r>
      <w:r>
        <w:t xml:space="preserve">toda amenaza se considera real hasta que Carabineros descarte.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Acción: </w:t>
      </w:r>
      <w:r>
        <w:t xml:space="preserve">quien recibe la amenaza informa de inmediato a la Directora. No borra el mensaje.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Denuncia: </w:t>
      </w:r>
      <w:r>
        <w:t xml:space="preserve">la Directora denuncia en 24 hrs a Carabineros o PDI y a Supereduc. Adjunta pantallazo.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Medidas: </w:t>
      </w:r>
      <w:r>
        <w:t xml:space="preserve">se evalúa suspensión de clases con sostenedor y Seremi. Se refuerza control de acceso.</w:t>
      </w:r>
    </w:p>
    <w:p>
      <w:pPr>
        <w:spacing w:after="80"/>
      </w:pPr>
      <w:r>
        <w:t xml:space="preserve"/>
      </w:r>
    </w:p>
    <w:p>
      <w:pPr>
        <w:pStyle w:val="Heading1"/>
      </w:pPr>
      <w:r>
        <w:rPr>
          <w:b/>
          <w:bCs/>
          <w:color w:val="1F3864"/>
        </w:rPr>
        <w:t xml:space="preserve">Art. 7.- Contención post-emergencia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Párvulos: </w:t>
      </w:r>
      <w:r>
        <w:t xml:space="preserve">Encargada de Convivencia Escolar realiza actividades de juego y relato para procesar. Se informa a familias con guía de cómo abordar en casa.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Funcionarias: </w:t>
      </w:r>
      <w:r>
        <w:t xml:space="preserve">Seguro escolar laboral. Derivación a ACHS/Mutual para atención psicológica.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rPr>
          <w:b/>
          <w:bCs/>
        </w:rPr>
        <w:t xml:space="preserve">Comunidad: </w:t>
      </w:r>
      <w:r>
        <w:t xml:space="preserve">reunión extraordinaria de apoderados en máx. 48 hrs para informar hechos y medidas.</w:t>
      </w:r>
    </w:p>
    <w:p>
      <w:pPr>
        <w:spacing w:after="80"/>
      </w:pPr>
      <w:r>
        <w:t xml:space="preserve"/>
      </w:r>
    </w:p>
    <w:p>
      <w:pPr>
        <w:pStyle w:val="Heading1"/>
      </w:pPr>
      <w:r>
        <w:rPr>
          <w:b/>
          <w:bCs/>
          <w:color w:val="1F3864"/>
        </w:rPr>
        <w:t xml:space="preserve">Art. 8.- Simulacros</w:t>
      </w:r>
    </w:p>
    <w:p>
      <w:pPr>
        <w:spacing w:after="120" w:line="300"/>
        <w:jc w:val="both"/>
      </w:pPr>
      <w:r>
        <w:t xml:space="preserve">Se realizarán 2 simulacros de encierro al año, sin avisar día exacto a párvulos, pero sí al personal. Se informa a apoderados que esa semana habrá simulacro. Se deja acta con evaluación de tiempos y mejoras.</w:t>
      </w:r>
    </w:p>
    <w:p>
      <w:pPr>
        <w:spacing w:after="80"/>
      </w:pPr>
      <w:r>
        <w:t xml:space="preserve"/>
      </w:r>
    </w:p>
    <w:p>
      <w:pPr>
        <w:pStyle w:val="Heading1"/>
      </w:pPr>
      <w:r>
        <w:rPr>
          <w:b/>
          <w:bCs/>
          <w:color w:val="1F3864"/>
        </w:rPr>
        <w:t xml:space="preserve">Directorio de emergencias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240"/>
        <w:gridCol w:w="3120"/>
      </w:tblGrid>
      <w:tr>
        <w:trPr>
          <w:tblHeader/>
        </w:trPr>
        <w:tc>
          <w:tcPr>
            <w:tcW w:type="dxa" w:w="624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b/>
                <w:bCs/>
                <w:color w:val="1F3864"/>
              </w:rPr>
              <w:t xml:space="preserve">INSTITUCIÓN</w:t>
            </w:r>
          </w:p>
        </w:tc>
        <w:tc>
          <w:tcPr>
            <w:tcW w:type="dxa" w:w="312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b/>
                <w:bCs/>
                <w:color w:val="1F3864"/>
              </w:rPr>
              <w:t xml:space="preserve">TELÉFONO</w:t>
            </w:r>
          </w:p>
        </w:tc>
      </w:tr>
      <w:tr>
        <w:tc>
          <w:tcPr>
            <w:tcW w:type="dxa" w:w="624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jc w:val="both"/>
            </w:pPr>
            <w:r>
              <w:rPr>
                <w:b/>
                <w:bCs/>
              </w:rPr>
              <w:t xml:space="preserve">Carabineros</w:t>
            </w:r>
          </w:p>
        </w:tc>
        <w:tc>
          <w:tcPr>
            <w:tcW w:type="dxa" w:w="312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jc w:val="both"/>
            </w:pPr>
            <w:r>
              <w:rPr>
                <w:b w:val="false"/>
                <w:bCs w:val="false"/>
              </w:rPr>
              <w:t xml:space="preserve">133</w:t>
            </w:r>
          </w:p>
        </w:tc>
      </w:tr>
      <w:tr>
        <w:tc>
          <w:tcPr>
            <w:tcW w:type="dxa" w:w="624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jc w:val="both"/>
            </w:pPr>
            <w:r>
              <w:rPr>
                <w:b/>
                <w:bCs/>
              </w:rPr>
              <w:t xml:space="preserve">Cuartel guarda OSG Puerto Varas</w:t>
            </w:r>
          </w:p>
        </w:tc>
        <w:tc>
          <w:tcPr>
            <w:tcW w:type="dxa" w:w="312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jc w:val="both"/>
            </w:pPr>
            <w:r>
              <w:rPr>
                <w:b w:val="false"/>
                <w:bCs w:val="false"/>
              </w:rPr>
              <w:t xml:space="preserve">65 2 76079</w:t>
            </w:r>
          </w:p>
        </w:tc>
      </w:tr>
      <w:tr>
        <w:tc>
          <w:tcPr>
            <w:tcW w:type="dxa" w:w="624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jc w:val="both"/>
            </w:pPr>
            <w:r>
              <w:rPr>
                <w:b/>
                <w:bCs/>
              </w:rPr>
              <w:t xml:space="preserve">Bomberos</w:t>
            </w:r>
          </w:p>
        </w:tc>
        <w:tc>
          <w:tcPr>
            <w:tcW w:type="dxa" w:w="312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jc w:val="both"/>
            </w:pPr>
            <w:r>
              <w:rPr>
                <w:b w:val="false"/>
                <w:bCs w:val="false"/>
              </w:rPr>
              <w:t xml:space="preserve">132</w:t>
            </w:r>
          </w:p>
        </w:tc>
      </w:tr>
      <w:tr>
        <w:tc>
          <w:tcPr>
            <w:tcW w:type="dxa" w:w="624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jc w:val="both"/>
            </w:pPr>
            <w:r>
              <w:rPr>
                <w:b w:val="false"/>
                <w:bCs w:val="false"/>
              </w:rPr>
              <w:t xml:space="preserve">Segunda Compañía de Bomberos “Germania” de Puerto Varas</w:t>
            </w:r>
          </w:p>
        </w:tc>
        <w:tc>
          <w:tcPr>
            <w:tcW w:type="dxa" w:w="312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jc w:val="both"/>
            </w:pPr>
            <w:r>
              <w:rPr>
                <w:b w:val="false"/>
                <w:bCs w:val="false"/>
              </w:rPr>
              <w:t xml:space="preserve">65 223 6901</w:t>
            </w:r>
          </w:p>
        </w:tc>
      </w:tr>
      <w:tr>
        <w:tc>
          <w:tcPr>
            <w:tcW w:type="dxa" w:w="624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jc w:val="both"/>
            </w:pPr>
            <w:r>
              <w:rPr>
                <w:b/>
                <w:bCs/>
              </w:rPr>
              <w:t xml:space="preserve">PDI</w:t>
            </w:r>
          </w:p>
        </w:tc>
        <w:tc>
          <w:tcPr>
            <w:tcW w:type="dxa" w:w="312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jc w:val="both"/>
            </w:pPr>
            <w:r>
              <w:rPr>
                <w:b w:val="false"/>
                <w:bCs w:val="false"/>
              </w:rPr>
              <w:t xml:space="preserve">65 277 5201</w:t>
            </w:r>
          </w:p>
        </w:tc>
      </w:tr>
      <w:tr>
        <w:tc>
          <w:tcPr>
            <w:tcW w:type="dxa" w:w="624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jc w:val="both"/>
            </w:pPr>
            <w:r>
              <w:rPr>
                <w:b/>
                <w:bCs/>
              </w:rPr>
              <w:t xml:space="preserve">Paz Ciudadana</w:t>
            </w:r>
          </w:p>
        </w:tc>
        <w:tc>
          <w:tcPr>
            <w:tcW w:type="dxa" w:w="312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jc w:val="both"/>
            </w:pPr>
            <w:r>
              <w:rPr>
                <w:b w:val="false"/>
                <w:bCs w:val="false"/>
              </w:rPr>
              <w:t xml:space="preserve">*4144 / 65 236 1251</w:t>
            </w:r>
          </w:p>
        </w:tc>
      </w:tr>
    </w:tbl>
    <w:p>
      <w:pPr>
        <w:spacing w:after="80"/>
      </w:pPr>
      <w:r>
        <w:t xml:space="preserve"/>
      </w:r>
    </w:p>
    <w:p>
      <w:pPr>
        <w:pStyle w:val="Heading1"/>
      </w:pPr>
      <w:r>
        <w:rPr>
          <w:b/>
          <w:bCs/>
          <w:color w:val="1F3864"/>
        </w:rPr>
        <w:t xml:space="preserve">Tarjeta rápida de emergencia</w:t>
      </w:r>
    </w:p>
    <w:p>
      <w:pPr>
        <w:spacing w:after="120" w:line="300"/>
        <w:jc w:val="center"/>
      </w:pPr>
      <w:r>
        <w:rPr>
          <w:b/>
          <w:bCs/>
          <w:color w:val="1F3864"/>
        </w:rPr>
        <w:t xml:space="preserve">Si escuchas “TÍA LUCY EN SALA” o “CÓDIGO ROJO”:</w:t>
      </w:r>
    </w:p>
    <w:p>
      <w:pPr>
        <w:spacing w:after="80"/>
      </w:pPr>
      <w:r>
        <w:t xml:space="preserve"/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1. CIERRA la puerta con llave.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2. APAGA la luz y cierra cortinas.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3. ALÉJATE de ventanas. Tírate al suelo.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4. SILENCIO y calma. “Tía te cuida”.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5. ESPERA a que Carabineros abra la puerta.</w:t>
      </w:r>
    </w:p>
    <w:p>
      <w:pPr>
        <w:spacing w:after="80"/>
      </w:pPr>
      <w:r>
        <w:t xml:space="preserve"/>
      </w:r>
    </w:p>
    <w:sectPr>
      <w:headerReference w:type="default" r:id="rId7"/>
      <w:footerReference w:type="default" r:id="rId8"/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color w:val="595959"/>
        <w:sz w:val="16"/>
        <w:szCs w:val="16"/>
      </w:rPr>
      <w:t xml:space="preserve">Escuela Especial de Lenguaje Girasol · </w:t>
    </w:r>
    <w:r>
      <w:rPr>
        <w:color w:val="595959"/>
        <w:sz w:val="16"/>
        <w:szCs w:val="16"/>
      </w:rPr>
      <w:t xml:space="preserve">Página </w:t>
    </w:r>
    <w:r>
      <w:rPr>
        <w:color w:val="595959"/>
        <w:sz w:val="16"/>
        <w:szCs w:val="16"/>
      </w:rPr>
      <w:fldChar w:fldCharType="begin"/>
      <w:instrText xml:space="preserve">PAGE</w:instrText>
      <w:fldChar w:fldCharType="separate"/>
      <w:fldChar w:fldCharType="end"/>
    </w:r>
    <w:r>
      <w:rPr>
        <w:color w:val="595959"/>
        <w:sz w:val="16"/>
        <w:szCs w:val="16"/>
      </w:rPr>
      <w:t xml:space="preserve"> de </w:t>
    </w:r>
    <w:r>
      <w:rPr>
        <w:color w:val="595959"/>
        <w:sz w:val="16"/>
        <w:szCs w:val="16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Bdr>
        <w:bottom w:val="single" w:color="1F3864" w:sz="6" w:space="4"/>
      </w:pBdr>
      <w:jc w:val="right"/>
    </w:pPr>
    <w:r>
      <w:rPr>
        <w:i/>
        <w:iCs/>
        <w:color w:val="595959"/>
        <w:sz w:val="18"/>
        <w:szCs w:val="18"/>
      </w:rPr>
      <w:t xml:space="preserve">Anexo N° 2 · </w:t>
    </w:r>
    <w:r>
      <w:rPr>
        <w:i/>
        <w:iCs/>
        <w:color w:val="595959"/>
        <w:sz w:val="18"/>
        <w:szCs w:val="18"/>
      </w:rPr>
      <w:t xml:space="preserve">Protocolo de Actuación ante Amenaza con Arma y/o Tiroteo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  <w:lvl w:ilvl="1" w15:tentative="1">
      <w:start w:val="1"/>
      <w:numFmt w:val="bullet"/>
      <w:lvlText w:val="◦"/>
      <w:lvlJc w:val="left"/>
      <w:pPr>
        <w:ind w:left="1440" w:hanging="360"/>
      </w:pPr>
    </w:lvl>
    <w:lvl w:ilvl="2" w15:tentative="1">
      <w:start w:val="1"/>
      <w:numFmt w:val="bullet"/>
      <w:lvlText w:val="▪"/>
      <w:lvlJc w:val="left"/>
      <w:pPr>
        <w:ind w:left="216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180" w:before="360"/>
      <w:outlineLvl w:val="0"/>
    </w:pPr>
    <w:rPr>
      <w:rFonts w:ascii="Calibri" w:cs="Calibri" w:eastAsia="Calibri" w:hAnsi="Calibri"/>
      <w:b/>
      <w:bCs/>
      <w:color w:val="1F3864"/>
      <w:sz w:val="32"/>
      <w:szCs w:val="32"/>
    </w:rPr>
  </w:style>
  <w:style w:type="paragraph" w:styleId="Heading2">
    <w:name w:val="Heading 2"/>
    <w:basedOn w:val="Normal"/>
    <w:next w:val="Normal"/>
    <w:qFormat/>
    <w:pPr>
      <w:spacing w:after="140" w:before="280"/>
      <w:outlineLvl w:val="1"/>
    </w:pPr>
    <w:rPr>
      <w:rFonts w:ascii="Calibri" w:cs="Calibri" w:eastAsia="Calibri" w:hAnsi="Calibri"/>
      <w:b/>
      <w:bCs/>
      <w:color w:val="1F3864"/>
      <w:sz w:val="26"/>
      <w:szCs w:val="26"/>
    </w:rPr>
  </w:style>
  <w:style w:type="paragraph" w:styleId="Heading3">
    <w:name w:val="Heading 3"/>
    <w:basedOn w:val="Normal"/>
    <w:next w:val="Normal"/>
    <w:qFormat/>
    <w:pPr>
      <w:spacing w:after="100" w:before="200"/>
      <w:outlineLvl w:val="2"/>
    </w:pPr>
    <w:rPr>
      <w:rFonts w:ascii="Calibri" w:cs="Calibri" w:eastAsia="Calibri" w:hAnsi="Calibri"/>
      <w:b/>
      <w:bCs/>
      <w:color w:val="1F3864"/>
      <w:sz w:val="22"/>
      <w:szCs w:val="22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2 - Protocolo de Actuación ante Amenaza con Arma y/o Tiroteo</dc:title>
  <dc:creator>Escuela Especial de Lenguaje Girasol</dc:creator>
  <cp:lastModifiedBy>Un-named</cp:lastModifiedBy>
  <cp:revision>1</cp:revision>
  <dcterms:created xsi:type="dcterms:W3CDTF">2026-05-14T08:56:48.139Z</dcterms:created>
  <dcterms:modified xsi:type="dcterms:W3CDTF">2026-05-14T08:56:48.140Z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